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32"/>
          <w:szCs w:val="32"/>
          <w:lang w:val="en-US" w:eastAsia="zh-CN"/>
        </w:rPr>
      </w:pPr>
      <w:r>
        <w:rPr>
          <w:rFonts w:hint="eastAsia"/>
          <w:sz w:val="32"/>
          <w:szCs w:val="32"/>
          <w:lang w:val="en-US" w:eastAsia="zh-CN"/>
        </w:rPr>
        <w:t>附件1</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8221"/>
        <w:gridCol w:w="1276"/>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948" w:type="dxa"/>
            <w:gridSpan w:val="6"/>
          </w:tcPr>
          <w:p>
            <w:pPr>
              <w:spacing w:line="400" w:lineRule="exact"/>
              <w:jc w:val="center"/>
              <w:rPr>
                <w:rFonts w:hint="eastAsia" w:ascii="黑体" w:hAnsi="黑体" w:eastAsia="黑体"/>
                <w:sz w:val="30"/>
                <w:szCs w:val="30"/>
              </w:rPr>
            </w:pPr>
            <w:r>
              <w:rPr>
                <w:rFonts w:hint="eastAsia" w:ascii="黑体" w:hAnsi="黑体" w:eastAsia="黑体"/>
                <w:sz w:val="30"/>
                <w:szCs w:val="30"/>
              </w:rPr>
              <w:t>2025年重庆市住房城乡建设领域数字化转型能力建设</w:t>
            </w:r>
            <w:r>
              <w:rPr>
                <w:rFonts w:hint="eastAsia" w:ascii="黑体" w:hAnsi="黑体" w:eastAsia="黑体"/>
                <w:sz w:val="30"/>
                <w:szCs w:val="30"/>
                <w:lang w:val="en-US" w:eastAsia="zh-CN"/>
              </w:rPr>
              <w:t>研究</w:t>
            </w:r>
            <w:r>
              <w:rPr>
                <w:rFonts w:hint="eastAsia" w:ascii="黑体" w:hAnsi="黑体" w:eastAsia="黑体"/>
                <w:sz w:val="30"/>
                <w:szCs w:val="30"/>
              </w:rPr>
              <w:t>项目</w:t>
            </w:r>
            <w:r>
              <w:rPr>
                <w:rFonts w:hint="eastAsia" w:ascii="黑体" w:hAnsi="黑体" w:eastAsia="黑体"/>
                <w:sz w:val="30"/>
                <w:szCs w:val="30"/>
                <w:lang w:eastAsia="zh-CN"/>
              </w:rPr>
              <w:t>（</w:t>
            </w:r>
            <w:r>
              <w:rPr>
                <w:rFonts w:hint="eastAsia" w:ascii="黑体" w:hAnsi="黑体" w:eastAsia="黑体"/>
                <w:sz w:val="30"/>
                <w:szCs w:val="30"/>
                <w:lang w:val="en-US" w:eastAsia="zh-CN"/>
              </w:rPr>
              <w:t>第二批</w:t>
            </w:r>
            <w:r>
              <w:rPr>
                <w:rFonts w:hint="eastAsia" w:ascii="黑体" w:hAnsi="黑体" w:eastAsia="黑体"/>
                <w:sz w:val="30"/>
                <w:szCs w:val="30"/>
                <w:lang w:eastAsia="zh-CN"/>
              </w:rPr>
              <w:t>）</w:t>
            </w:r>
            <w:r>
              <w:rPr>
                <w:rFonts w:hint="eastAsia" w:ascii="黑体" w:hAnsi="黑体" w:eastAsia="黑体"/>
                <w:sz w:val="30"/>
                <w:szCs w:val="30"/>
                <w:lang w:val="en-US" w:eastAsia="zh-CN"/>
              </w:rPr>
              <w:t>申报指南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04" w:type="dxa"/>
            <w:vAlign w:val="center"/>
          </w:tcPr>
          <w:p>
            <w:pPr>
              <w:spacing w:line="260" w:lineRule="exact"/>
              <w:rPr>
                <w:rFonts w:hint="eastAsia" w:ascii="宋体" w:hAnsi="宋体" w:eastAsia="宋体"/>
                <w:sz w:val="24"/>
                <w:szCs w:val="24"/>
              </w:rPr>
            </w:pPr>
            <w:r>
              <w:rPr>
                <w:rFonts w:hint="eastAsia" w:ascii="宋体" w:hAnsi="宋体" w:eastAsia="宋体"/>
                <w:sz w:val="24"/>
                <w:szCs w:val="24"/>
              </w:rPr>
              <w:t>序号</w:t>
            </w:r>
          </w:p>
        </w:tc>
        <w:tc>
          <w:tcPr>
            <w:tcW w:w="1276" w:type="dxa"/>
            <w:vAlign w:val="center"/>
          </w:tcPr>
          <w:p>
            <w:pPr>
              <w:spacing w:line="260" w:lineRule="exact"/>
              <w:rPr>
                <w:rFonts w:hint="eastAsia" w:ascii="宋体" w:hAnsi="宋体" w:eastAsia="宋体"/>
                <w:sz w:val="24"/>
                <w:szCs w:val="24"/>
              </w:rPr>
            </w:pPr>
            <w:r>
              <w:rPr>
                <w:rFonts w:hint="eastAsia" w:ascii="宋体" w:hAnsi="宋体" w:eastAsia="宋体"/>
                <w:sz w:val="24"/>
                <w:szCs w:val="24"/>
              </w:rPr>
              <w:t>项目名称</w:t>
            </w:r>
          </w:p>
        </w:tc>
        <w:tc>
          <w:tcPr>
            <w:tcW w:w="1276" w:type="dxa"/>
            <w:vAlign w:val="center"/>
          </w:tcPr>
          <w:p>
            <w:pPr>
              <w:spacing w:line="260" w:lineRule="exact"/>
              <w:rPr>
                <w:rFonts w:hint="eastAsia" w:ascii="宋体" w:hAnsi="宋体" w:eastAsia="宋体"/>
                <w:sz w:val="24"/>
                <w:szCs w:val="24"/>
              </w:rPr>
            </w:pPr>
            <w:r>
              <w:rPr>
                <w:rFonts w:hint="eastAsia" w:ascii="宋体" w:hAnsi="宋体" w:eastAsia="宋体"/>
                <w:sz w:val="24"/>
                <w:szCs w:val="24"/>
              </w:rPr>
              <w:t>研究方向</w:t>
            </w:r>
          </w:p>
        </w:tc>
        <w:tc>
          <w:tcPr>
            <w:tcW w:w="822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szCs w:val="24"/>
              </w:rPr>
            </w:pPr>
            <w:r>
              <w:rPr>
                <w:rFonts w:hint="eastAsia" w:ascii="宋体" w:hAnsi="宋体" w:eastAsia="宋体"/>
                <w:sz w:val="24"/>
                <w:szCs w:val="24"/>
              </w:rPr>
              <w:t>考核指标</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sz w:val="24"/>
                <w:szCs w:val="24"/>
              </w:rPr>
            </w:pPr>
            <w:r>
              <w:rPr>
                <w:rFonts w:hint="eastAsia" w:ascii="宋体" w:hAnsi="宋体" w:eastAsia="宋体"/>
                <w:sz w:val="24"/>
                <w:szCs w:val="24"/>
              </w:rPr>
              <w:t>研究期限（年）</w:t>
            </w:r>
          </w:p>
        </w:tc>
        <w:tc>
          <w:tcPr>
            <w:tcW w:w="119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sz w:val="24"/>
                <w:szCs w:val="24"/>
              </w:rPr>
            </w:pPr>
            <w:r>
              <w:rPr>
                <w:rFonts w:hint="eastAsia" w:ascii="宋体" w:hAnsi="宋体" w:eastAsia="宋体"/>
                <w:sz w:val="24"/>
                <w:szCs w:val="24"/>
              </w:rPr>
              <w:t>经费限额（万元）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04" w:type="dxa"/>
            <w:vAlign w:val="center"/>
          </w:tcPr>
          <w:p>
            <w:pPr>
              <w:spacing w:line="260" w:lineRule="exac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w:t>
            </w:r>
          </w:p>
        </w:tc>
        <w:tc>
          <w:tcPr>
            <w:tcW w:w="1276" w:type="dxa"/>
            <w:vAlign w:val="center"/>
          </w:tcPr>
          <w:p>
            <w:pPr>
              <w:spacing w:line="260" w:lineRule="exact"/>
              <w:rPr>
                <w:rFonts w:hint="eastAsia" w:ascii="宋体" w:hAnsi="宋体" w:eastAsia="宋体"/>
                <w:sz w:val="24"/>
                <w:szCs w:val="24"/>
                <w:lang w:val="en-US" w:eastAsia="zh-CN"/>
              </w:rPr>
            </w:pPr>
            <w:r>
              <w:rPr>
                <w:rFonts w:hint="eastAsia" w:ascii="宋体" w:hAnsi="宋体" w:eastAsia="宋体"/>
                <w:sz w:val="24"/>
                <w:szCs w:val="24"/>
              </w:rPr>
              <w:t>基于大模型的住建领域高质量数据集价值转化技术体系研究与应用</w:t>
            </w:r>
          </w:p>
        </w:tc>
        <w:tc>
          <w:tcPr>
            <w:tcW w:w="1276" w:type="dxa"/>
            <w:vAlign w:val="center"/>
          </w:tcPr>
          <w:p>
            <w:pPr>
              <w:spacing w:line="260" w:lineRule="exact"/>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AI</w:t>
            </w:r>
          </w:p>
        </w:tc>
        <w:tc>
          <w:tcPr>
            <w:tcW w:w="8221" w:type="dxa"/>
            <w:vAlign w:val="center"/>
          </w:tcPr>
          <w:p>
            <w:pPr>
              <w:tabs>
                <w:tab w:val="left" w:pos="312"/>
              </w:tabs>
              <w:spacing w:line="260" w:lineRule="exact"/>
              <w:rPr>
                <w:rFonts w:hint="eastAsia" w:ascii="宋体" w:hAnsi="宋体" w:eastAsia="宋体"/>
                <w:sz w:val="24"/>
                <w:szCs w:val="24"/>
              </w:rPr>
            </w:pPr>
          </w:p>
          <w:p>
            <w:pPr>
              <w:keepNext w:val="0"/>
              <w:keepLines w:val="0"/>
              <w:pageBreakBefore w:val="0"/>
              <w:widowControl w:val="0"/>
              <w:tabs>
                <w:tab w:val="left" w:pos="312"/>
              </w:tabs>
              <w:kinsoku/>
              <w:wordWrap/>
              <w:overflowPunct/>
              <w:topLinePunct w:val="0"/>
              <w:autoSpaceDE/>
              <w:autoSpaceDN/>
              <w:bidi w:val="0"/>
              <w:adjustRightInd/>
              <w:snapToGrid/>
              <w:spacing w:line="360" w:lineRule="exact"/>
              <w:textAlignment w:val="auto"/>
              <w:rPr>
                <w:rFonts w:hint="eastAsia" w:ascii="宋体" w:hAnsi="宋体" w:eastAsia="宋体"/>
                <w:sz w:val="24"/>
                <w:szCs w:val="24"/>
              </w:rPr>
            </w:pPr>
            <w:r>
              <w:rPr>
                <w:rFonts w:hint="eastAsia" w:ascii="宋体" w:hAnsi="宋体" w:eastAsia="宋体"/>
                <w:sz w:val="24"/>
                <w:szCs w:val="24"/>
              </w:rPr>
              <w:t>1.建立大模型“构建-应用-评价-优化” 全生命周期驱动的高质量数据集构建、评价和价值转化方法及技术体系；研究并明确数据价值转化生态中各方角色的责、权、利定位，包括行业高质量数据平台方、领域数据所有方、任务数据所有方、数据确权方、大模型算法服务提供方、算力提供方和数据集和大模型质量测评方；研究并明确“数据-大模型”分离的数据共享服务方法，利用大模型训练及微调技术在确保数据隐私的情况下向第三方用户共享大模型服务的路径及关键技术。形成《基于大模型的住建领域高质量数据集价值转化技术体系研究报告》，并通过专家评审。</w:t>
            </w:r>
          </w:p>
          <w:p>
            <w:pPr>
              <w:keepNext w:val="0"/>
              <w:keepLines w:val="0"/>
              <w:pageBreakBefore w:val="0"/>
              <w:widowControl w:val="0"/>
              <w:tabs>
                <w:tab w:val="left" w:pos="312"/>
              </w:tabs>
              <w:kinsoku/>
              <w:wordWrap/>
              <w:overflowPunct/>
              <w:topLinePunct w:val="0"/>
              <w:autoSpaceDE/>
              <w:autoSpaceDN/>
              <w:bidi w:val="0"/>
              <w:adjustRightInd/>
              <w:snapToGrid/>
              <w:spacing w:line="360" w:lineRule="exact"/>
              <w:textAlignment w:val="auto"/>
              <w:rPr>
                <w:rFonts w:hint="eastAsia" w:ascii="宋体" w:hAnsi="宋体" w:eastAsia="宋体"/>
                <w:sz w:val="24"/>
                <w:szCs w:val="24"/>
              </w:rPr>
            </w:pPr>
            <w:r>
              <w:rPr>
                <w:rFonts w:hint="eastAsia" w:ascii="宋体" w:hAnsi="宋体" w:eastAsia="宋体"/>
                <w:sz w:val="24"/>
                <w:szCs w:val="24"/>
              </w:rPr>
              <w:t>2.实现“基于大模型的住建领域高质量数据集价值转化”工具平台，包括数据源管理、数据集汇聚管理、数据标注、大模型汇交及管理、大模型测评和数据确权等功能模块，并进行应用示范。</w:t>
            </w:r>
          </w:p>
          <w:p>
            <w:pPr>
              <w:keepNext w:val="0"/>
              <w:keepLines w:val="0"/>
              <w:pageBreakBefore w:val="0"/>
              <w:widowControl w:val="0"/>
              <w:tabs>
                <w:tab w:val="left" w:pos="312"/>
              </w:tabs>
              <w:kinsoku/>
              <w:wordWrap/>
              <w:overflowPunct/>
              <w:topLinePunct w:val="0"/>
              <w:autoSpaceDE/>
              <w:autoSpaceDN/>
              <w:bidi w:val="0"/>
              <w:adjustRightInd/>
              <w:snapToGrid/>
              <w:spacing w:line="360" w:lineRule="exact"/>
              <w:textAlignment w:val="auto"/>
              <w:rPr>
                <w:rFonts w:hint="eastAsia" w:ascii="宋体" w:hAnsi="宋体" w:eastAsia="宋体"/>
                <w:sz w:val="24"/>
                <w:szCs w:val="24"/>
              </w:rPr>
            </w:pPr>
            <w:r>
              <w:rPr>
                <w:rFonts w:hint="eastAsia" w:ascii="宋体" w:hAnsi="宋体" w:eastAsia="宋体"/>
                <w:sz w:val="24"/>
                <w:szCs w:val="24"/>
              </w:rPr>
              <w:t>3.结合重庆市住建领域CIM平台建设和数据治理内容，构建城市空间网络运营核心数据资源目录体系，系统梳理城市空间建设、管理、更新、运营全链条数据需求，明确住建领域支撑精细化运营的关键数据知识内容（如建筑、市政设施、产业发展、城市管理等）、来源类型、时效性、标注人员类型、支持AI模型类型、主题范围等；研究制定统一的数据分类分级与质量评估标准，为高质量数据集建设提供基础框架，形成覆盖核心要素的《城市空间网络运营住建数据资源目录》，并通过专家评审。</w:t>
            </w:r>
          </w:p>
          <w:p>
            <w:pPr>
              <w:keepNext w:val="0"/>
              <w:keepLines w:val="0"/>
              <w:pageBreakBefore w:val="0"/>
              <w:widowControl w:val="0"/>
              <w:tabs>
                <w:tab w:val="left" w:pos="312"/>
              </w:tabs>
              <w:kinsoku/>
              <w:wordWrap/>
              <w:overflowPunct/>
              <w:topLinePunct w:val="0"/>
              <w:autoSpaceDE/>
              <w:autoSpaceDN/>
              <w:bidi w:val="0"/>
              <w:adjustRightInd/>
              <w:snapToGrid/>
              <w:spacing w:line="360" w:lineRule="exact"/>
              <w:textAlignment w:val="auto"/>
              <w:rPr>
                <w:rFonts w:hint="eastAsia" w:ascii="宋体" w:hAnsi="宋体" w:eastAsia="宋体"/>
                <w:sz w:val="24"/>
                <w:szCs w:val="24"/>
              </w:rPr>
            </w:pPr>
            <w:r>
              <w:rPr>
                <w:rFonts w:hint="eastAsia" w:ascii="宋体" w:hAnsi="宋体" w:eastAsia="宋体"/>
                <w:sz w:val="24"/>
                <w:szCs w:val="24"/>
              </w:rPr>
              <w:t>4.在老旧小区改造与长效管理、智慧园区、智慧公共建筑（如，医院、学校）、基础设施智能管养等领域，结合设计、施工、运维和检测等专业，基于行业高质量数据集，利用大模型及数据确权技术进行价值转化，提出不少于3个可复制推广的场景应用解决方案，包含数据集构建、大模型构建、价值转化流程和优化策略等内容，并通过专家评审。</w:t>
            </w:r>
            <w:bookmarkStart w:id="0" w:name="_GoBack"/>
            <w:bookmarkEnd w:id="0"/>
          </w:p>
          <w:p>
            <w:pPr>
              <w:keepNext w:val="0"/>
              <w:keepLines w:val="0"/>
              <w:pageBreakBefore w:val="0"/>
              <w:widowControl w:val="0"/>
              <w:tabs>
                <w:tab w:val="left" w:pos="312"/>
              </w:tabs>
              <w:kinsoku/>
              <w:wordWrap/>
              <w:overflowPunct/>
              <w:topLinePunct w:val="0"/>
              <w:autoSpaceDE/>
              <w:autoSpaceDN/>
              <w:bidi w:val="0"/>
              <w:adjustRightInd/>
              <w:snapToGrid/>
              <w:spacing w:line="360" w:lineRule="exact"/>
              <w:textAlignment w:val="auto"/>
              <w:rPr>
                <w:rFonts w:hint="eastAsia" w:ascii="宋体" w:hAnsi="宋体" w:eastAsia="宋体"/>
                <w:sz w:val="24"/>
                <w:szCs w:val="24"/>
              </w:rPr>
            </w:pPr>
            <w:r>
              <w:rPr>
                <w:rFonts w:hint="eastAsia" w:ascii="宋体" w:hAnsi="宋体" w:eastAsia="宋体"/>
                <w:sz w:val="24"/>
                <w:szCs w:val="24"/>
              </w:rPr>
              <w:t>5.编制《基于大模型的高质量数据集评价指南》、《重庆市住建领域高质量数据集价值转化生态联盟管理办法》并通过专家评审。</w:t>
            </w:r>
          </w:p>
          <w:p>
            <w:pPr>
              <w:keepNext w:val="0"/>
              <w:keepLines w:val="0"/>
              <w:pageBreakBefore w:val="0"/>
              <w:widowControl w:val="0"/>
              <w:tabs>
                <w:tab w:val="left" w:pos="312"/>
              </w:tabs>
              <w:kinsoku/>
              <w:wordWrap/>
              <w:overflowPunct/>
              <w:topLinePunct w:val="0"/>
              <w:autoSpaceDE/>
              <w:autoSpaceDN/>
              <w:bidi w:val="0"/>
              <w:adjustRightInd/>
              <w:snapToGrid/>
              <w:spacing w:line="360" w:lineRule="exact"/>
              <w:textAlignment w:val="auto"/>
              <w:rPr>
                <w:rFonts w:hint="eastAsia"/>
                <w:sz w:val="24"/>
                <w:szCs w:val="24"/>
                <w:lang w:val="en-US" w:eastAsia="zh-CN"/>
              </w:rPr>
            </w:pPr>
            <w:r>
              <w:rPr>
                <w:rFonts w:hint="eastAsia" w:ascii="宋体" w:hAnsi="宋体" w:eastAsia="宋体"/>
                <w:sz w:val="24"/>
                <w:szCs w:val="24"/>
              </w:rPr>
              <w:t>6.软件著作权登记1项。</w:t>
            </w:r>
          </w:p>
        </w:tc>
        <w:tc>
          <w:tcPr>
            <w:tcW w:w="1276" w:type="dxa"/>
            <w:vAlign w:val="center"/>
          </w:tcPr>
          <w:p>
            <w:pPr>
              <w:spacing w:line="260" w:lineRule="exact"/>
              <w:jc w:val="center"/>
              <w:rPr>
                <w:rFonts w:hint="eastAsia" w:ascii="宋体" w:hAnsi="宋体" w:eastAsia="宋体"/>
                <w:sz w:val="24"/>
                <w:szCs w:val="24"/>
              </w:rPr>
            </w:pPr>
            <w:r>
              <w:rPr>
                <w:rFonts w:hint="eastAsia" w:ascii="宋体" w:hAnsi="宋体" w:eastAsia="宋体"/>
                <w:sz w:val="24"/>
                <w:szCs w:val="24"/>
              </w:rPr>
              <w:t>2</w:t>
            </w:r>
          </w:p>
        </w:tc>
        <w:tc>
          <w:tcPr>
            <w:tcW w:w="1195" w:type="dxa"/>
            <w:vAlign w:val="center"/>
          </w:tcPr>
          <w:p>
            <w:pPr>
              <w:spacing w:line="260" w:lineRule="exact"/>
              <w:jc w:val="center"/>
              <w:rPr>
                <w:rFonts w:hint="eastAsia" w:ascii="宋体" w:hAnsi="宋体" w:eastAsia="宋体"/>
                <w:sz w:val="24"/>
                <w:szCs w:val="24"/>
                <w:lang w:val="en-US" w:eastAsia="zh-CN"/>
              </w:rPr>
            </w:pPr>
            <w:r>
              <w:rPr>
                <w:rFonts w:hint="eastAsia" w:ascii="宋体" w:hAnsi="宋体" w:eastAsia="宋体"/>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704" w:type="dxa"/>
            <w:vAlign w:val="center"/>
          </w:tcPr>
          <w:p>
            <w:pPr>
              <w:spacing w:line="260" w:lineRule="exac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2</w:t>
            </w:r>
          </w:p>
        </w:tc>
        <w:tc>
          <w:tcPr>
            <w:tcW w:w="1276" w:type="dxa"/>
            <w:vAlign w:val="center"/>
          </w:tcPr>
          <w:p>
            <w:pPr>
              <w:spacing w:line="260" w:lineRule="exact"/>
              <w:rPr>
                <w:rFonts w:hint="eastAsia" w:ascii="宋体" w:hAnsi="宋体" w:eastAsia="宋体"/>
                <w:sz w:val="24"/>
                <w:szCs w:val="24"/>
              </w:rPr>
            </w:pPr>
            <w:r>
              <w:rPr>
                <w:rFonts w:hint="eastAsia" w:ascii="宋体" w:hAnsi="宋体" w:eastAsia="宋体"/>
                <w:sz w:val="24"/>
                <w:szCs w:val="24"/>
              </w:rPr>
              <w:t>人工智能（AI）赋能产城融合</w:t>
            </w:r>
            <w:r>
              <w:rPr>
                <w:rFonts w:hint="eastAsia" w:ascii="宋体" w:hAnsi="宋体" w:eastAsia="宋体"/>
                <w:sz w:val="24"/>
                <w:szCs w:val="24"/>
                <w:lang w:val="en-US" w:eastAsia="zh-CN"/>
              </w:rPr>
              <w:t>及综合服务</w:t>
            </w:r>
            <w:r>
              <w:rPr>
                <w:rFonts w:hint="eastAsia" w:ascii="宋体" w:hAnsi="宋体" w:eastAsia="宋体"/>
                <w:sz w:val="24"/>
                <w:szCs w:val="24"/>
              </w:rPr>
              <w:t>关键技术研究及应用示范</w:t>
            </w:r>
          </w:p>
        </w:tc>
        <w:tc>
          <w:tcPr>
            <w:tcW w:w="1276" w:type="dxa"/>
            <w:vAlign w:val="center"/>
          </w:tcPr>
          <w:p>
            <w:pPr>
              <w:spacing w:line="260" w:lineRule="exact"/>
              <w:rPr>
                <w:rFonts w:hint="eastAsia" w:ascii="宋体" w:hAnsi="宋体" w:eastAsia="宋体"/>
                <w:sz w:val="24"/>
                <w:szCs w:val="24"/>
                <w:lang w:val="en-US" w:eastAsia="zh-CN"/>
              </w:rPr>
            </w:pPr>
            <w:r>
              <w:rPr>
                <w:rFonts w:hint="eastAsia" w:ascii="宋体" w:hAnsi="宋体" w:eastAsia="宋体"/>
                <w:sz w:val="24"/>
                <w:szCs w:val="24"/>
              </w:rPr>
              <w:t>智慧城区</w:t>
            </w:r>
          </w:p>
        </w:tc>
        <w:tc>
          <w:tcPr>
            <w:tcW w:w="822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 w:val="24"/>
                <w:szCs w:val="24"/>
              </w:rPr>
            </w:pPr>
            <w:r>
              <w:rPr>
                <w:rFonts w:hint="eastAsia" w:ascii="宋体" w:hAnsi="宋体" w:eastAsia="宋体"/>
                <w:sz w:val="24"/>
                <w:szCs w:val="24"/>
              </w:rPr>
              <w:t>1.落实习近平总书记重庆讲话精神，围绕“人民城市”理念和高品质生活、高质量发展、高效能治理“三高“战略，从政策背景、城市级示范区</w:t>
            </w:r>
            <w:r>
              <w:rPr>
                <w:rFonts w:hint="eastAsia" w:ascii="宋体" w:hAnsi="宋体" w:eastAsia="宋体"/>
                <w:sz w:val="24"/>
                <w:szCs w:val="24"/>
                <w:lang w:val="en-US" w:eastAsia="zh-CN"/>
              </w:rPr>
              <w:t>功能、</w:t>
            </w:r>
            <w:r>
              <w:rPr>
                <w:rFonts w:hint="eastAsia" w:ascii="宋体" w:hAnsi="宋体" w:eastAsia="宋体"/>
                <w:sz w:val="24"/>
                <w:szCs w:val="24"/>
              </w:rPr>
              <w:t>职能职责、产业布局与配套、数字化建设现状和人工智能（AI）综合服务赋能产城融合发展需求等角度进行文献和现场调研，编制示范区建设调研及需求分析报告。</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 w:val="24"/>
                <w:szCs w:val="24"/>
              </w:rPr>
            </w:pPr>
            <w:r>
              <w:rPr>
                <w:rFonts w:hint="eastAsia" w:ascii="宋体" w:hAnsi="宋体" w:eastAsia="宋体"/>
                <w:sz w:val="24"/>
                <w:szCs w:val="24"/>
              </w:rPr>
              <w:t>2.根据示范区需求调研情况，以高品质生活需求为切入点，面向产城融合与“规-建-管-运</w:t>
            </w:r>
            <w:r>
              <w:rPr>
                <w:rFonts w:hint="eastAsia" w:ascii="宋体" w:hAnsi="宋体" w:eastAsia="宋体"/>
                <w:sz w:val="24"/>
                <w:szCs w:val="24"/>
                <w:lang w:eastAsia="zh-CN"/>
              </w:rPr>
              <w:t>”</w:t>
            </w:r>
            <w:r>
              <w:rPr>
                <w:rFonts w:hint="eastAsia" w:ascii="宋体" w:hAnsi="宋体" w:eastAsia="宋体"/>
                <w:sz w:val="24"/>
                <w:szCs w:val="24"/>
              </w:rPr>
              <w:t>城市治理深度挖掘细化数字化应用场景</w:t>
            </w:r>
            <w:r>
              <w:rPr>
                <w:rFonts w:hint="eastAsia" w:ascii="宋体" w:hAnsi="宋体" w:eastAsia="宋体"/>
                <w:sz w:val="24"/>
                <w:szCs w:val="24"/>
                <w:lang w:eastAsia="zh-CN"/>
              </w:rPr>
              <w:t>，</w:t>
            </w:r>
            <w:r>
              <w:rPr>
                <w:rFonts w:hint="eastAsia" w:ascii="宋体" w:hAnsi="宋体" w:eastAsia="宋体"/>
                <w:sz w:val="24"/>
                <w:szCs w:val="24"/>
              </w:rPr>
              <w:t>并以“智能建筑操作系统”、“具身智能物联设备系统”、“AI模型构建及评价产教研一体化平台”和“多智能体协同系统”为技术框架构建“基于智能体技术的城市智能操作系统”技术体系；结合AI技术和新兴数字化技术的应用及发展趋势，编制示范区典型数字化应用及适宜技术分析报告。</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 w:val="24"/>
                <w:szCs w:val="24"/>
              </w:rPr>
            </w:pPr>
            <w:r>
              <w:rPr>
                <w:rFonts w:hint="eastAsia" w:ascii="宋体" w:hAnsi="宋体" w:eastAsia="宋体"/>
                <w:sz w:val="24"/>
                <w:szCs w:val="24"/>
              </w:rPr>
              <w:t>3.通过文献检索方式，充分调研AI</w:t>
            </w:r>
            <w:r>
              <w:rPr>
                <w:rFonts w:hint="eastAsia" w:ascii="宋体" w:hAnsi="宋体" w:eastAsia="宋体"/>
                <w:sz w:val="24"/>
                <w:szCs w:val="24"/>
                <w:lang w:val="en-US" w:eastAsia="zh-CN"/>
              </w:rPr>
              <w:t>赋能产城融合及综合服务</w:t>
            </w:r>
            <w:r>
              <w:rPr>
                <w:rFonts w:hint="eastAsia" w:ascii="宋体" w:hAnsi="宋体" w:eastAsia="宋体"/>
                <w:sz w:val="24"/>
                <w:szCs w:val="24"/>
              </w:rPr>
              <w:t>高价值应用领域的各级技术标准，结合标准化原理与标准体系构建方法论，编制示范区AI应用技术相关标准综述及编制修订建议报告。</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 w:val="24"/>
                <w:szCs w:val="24"/>
              </w:rPr>
            </w:pPr>
            <w:r>
              <w:rPr>
                <w:rFonts w:hint="eastAsia" w:ascii="宋体" w:hAnsi="宋体" w:eastAsia="宋体"/>
                <w:sz w:val="24"/>
                <w:szCs w:val="24"/>
              </w:rPr>
              <w:t>4.通过文献和现场调研方式，</w:t>
            </w:r>
            <w:r>
              <w:rPr>
                <w:rFonts w:hint="eastAsia" w:ascii="宋体" w:hAnsi="宋体" w:eastAsia="宋体"/>
                <w:sz w:val="24"/>
                <w:szCs w:val="24"/>
                <w:lang w:val="en-US" w:eastAsia="zh-CN"/>
              </w:rPr>
              <w:t>调查</w:t>
            </w:r>
            <w:r>
              <w:rPr>
                <w:rFonts w:hint="eastAsia" w:ascii="宋体" w:hAnsi="宋体" w:eastAsia="宋体"/>
                <w:sz w:val="24"/>
                <w:szCs w:val="24"/>
              </w:rPr>
              <w:t>全国范围内</w:t>
            </w:r>
            <w:r>
              <w:rPr>
                <w:rFonts w:hint="eastAsia" w:ascii="宋体" w:hAnsi="宋体" w:eastAsia="宋体"/>
                <w:sz w:val="24"/>
                <w:szCs w:val="24"/>
                <w:lang w:val="en-US" w:eastAsia="zh-CN"/>
              </w:rPr>
              <w:t>住建领域</w:t>
            </w:r>
            <w:r>
              <w:rPr>
                <w:rFonts w:hint="eastAsia" w:ascii="宋体" w:hAnsi="宋体" w:eastAsia="宋体"/>
                <w:sz w:val="24"/>
                <w:szCs w:val="24"/>
              </w:rPr>
              <w:t>AI应用型人才培养模式，根据AI技术研发及应用特点并结合示范区建设和运营AI人才需求，编制示范区AI应用型人才产教研一体化培养体系分析报告。</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 w:val="24"/>
                <w:szCs w:val="24"/>
              </w:rPr>
            </w:pPr>
            <w:r>
              <w:rPr>
                <w:rFonts w:hint="eastAsia" w:ascii="宋体" w:hAnsi="宋体" w:eastAsia="宋体"/>
                <w:sz w:val="24"/>
                <w:szCs w:val="24"/>
              </w:rPr>
              <w:t>5.围绕习近平总书记重庆讲话精神，在示范区建设调研及需求分析、典型数字化应用及适宜技术分析、标准综述及立项建议和AI应用型人才产教研一体化培养体系分析等工作的基础上，以示范区建设标志性成果（包括但不限于）为核心目标：（1）</w:t>
            </w:r>
            <w:r>
              <w:rPr>
                <w:rFonts w:hint="eastAsia" w:ascii="宋体" w:hAnsi="宋体" w:eastAsia="宋体"/>
                <w:sz w:val="24"/>
                <w:szCs w:val="24"/>
                <w:lang w:val="en-US" w:eastAsia="zh-CN"/>
              </w:rPr>
              <w:t>明确</w:t>
            </w:r>
            <w:r>
              <w:rPr>
                <w:rFonts w:hint="eastAsia" w:ascii="宋体" w:hAnsi="宋体" w:eastAsia="宋体"/>
                <w:sz w:val="24"/>
                <w:szCs w:val="24"/>
              </w:rPr>
              <w:t>示范区及其所属行政区的区域中心职能</w:t>
            </w:r>
            <w:r>
              <w:rPr>
                <w:rFonts w:hint="eastAsia" w:ascii="宋体" w:hAnsi="宋体" w:eastAsia="宋体"/>
                <w:sz w:val="24"/>
                <w:szCs w:val="24"/>
                <w:lang w:eastAsia="zh-CN"/>
              </w:rPr>
              <w:t>；</w:t>
            </w:r>
            <w:r>
              <w:rPr>
                <w:rFonts w:hint="eastAsia" w:ascii="宋体" w:hAnsi="宋体" w:eastAsia="宋体"/>
                <w:sz w:val="24"/>
                <w:szCs w:val="24"/>
              </w:rPr>
              <w:t>（2）依托示范区内职业院校、产业园区等建设主体及其所属行政区城市产学研用资源实现配套功能</w:t>
            </w:r>
            <w:r>
              <w:rPr>
                <w:rFonts w:hint="eastAsia" w:ascii="宋体" w:hAnsi="宋体" w:eastAsia="宋体"/>
                <w:sz w:val="24"/>
                <w:szCs w:val="24"/>
                <w:lang w:eastAsia="zh-CN"/>
              </w:rPr>
              <w:t>的</w:t>
            </w:r>
            <w:r>
              <w:rPr>
                <w:rFonts w:hint="eastAsia" w:ascii="宋体" w:hAnsi="宋体" w:eastAsia="宋体"/>
                <w:sz w:val="24"/>
                <w:szCs w:val="24"/>
              </w:rPr>
              <w:t>拓展</w:t>
            </w:r>
            <w:r>
              <w:rPr>
                <w:rFonts w:hint="eastAsia" w:ascii="宋体" w:hAnsi="宋体" w:eastAsia="宋体"/>
                <w:sz w:val="24"/>
                <w:szCs w:val="24"/>
                <w:lang w:eastAsia="zh-CN"/>
              </w:rPr>
              <w:t>；</w:t>
            </w:r>
            <w:r>
              <w:rPr>
                <w:rFonts w:hint="eastAsia" w:ascii="宋体" w:hAnsi="宋体" w:eastAsia="宋体"/>
                <w:sz w:val="24"/>
                <w:szCs w:val="24"/>
              </w:rPr>
              <w:t>（3）</w:t>
            </w:r>
            <w:r>
              <w:rPr>
                <w:rFonts w:hint="eastAsia" w:ascii="宋体" w:hAnsi="宋体" w:eastAsia="宋体"/>
                <w:sz w:val="24"/>
                <w:szCs w:val="24"/>
                <w:lang w:val="en-US" w:eastAsia="zh-CN"/>
              </w:rPr>
              <w:t>谋划</w:t>
            </w:r>
            <w:r>
              <w:rPr>
                <w:rFonts w:hint="eastAsia" w:ascii="宋体" w:hAnsi="宋体" w:eastAsia="宋体"/>
                <w:sz w:val="24"/>
                <w:szCs w:val="24"/>
              </w:rPr>
              <w:t>打造住建领域市级示范基地</w:t>
            </w:r>
            <w:r>
              <w:rPr>
                <w:rFonts w:hint="eastAsia" w:ascii="宋体" w:hAnsi="宋体" w:eastAsia="宋体"/>
                <w:sz w:val="24"/>
                <w:szCs w:val="24"/>
                <w:lang w:eastAsia="zh-CN"/>
              </w:rPr>
              <w:t>；</w:t>
            </w:r>
            <w:r>
              <w:rPr>
                <w:rFonts w:hint="eastAsia" w:ascii="宋体" w:hAnsi="宋体" w:eastAsia="宋体"/>
                <w:sz w:val="24"/>
                <w:szCs w:val="24"/>
              </w:rPr>
              <w:t>（4）依托示范区所属行政区内大型交通基础设施（如机场）及其配套</w:t>
            </w:r>
            <w:r>
              <w:rPr>
                <w:rFonts w:hint="eastAsia" w:ascii="宋体" w:hAnsi="宋体" w:eastAsia="宋体"/>
                <w:sz w:val="24"/>
                <w:szCs w:val="24"/>
                <w:lang w:val="en-US" w:eastAsia="zh-CN"/>
              </w:rPr>
              <w:t>提升</w:t>
            </w:r>
            <w:r>
              <w:rPr>
                <w:rFonts w:hint="eastAsia" w:ascii="宋体" w:hAnsi="宋体" w:eastAsia="宋体"/>
                <w:sz w:val="24"/>
                <w:szCs w:val="24"/>
              </w:rPr>
              <w:t>新城市职能</w:t>
            </w:r>
            <w:r>
              <w:rPr>
                <w:rFonts w:hint="eastAsia" w:ascii="宋体" w:hAnsi="宋体" w:eastAsia="宋体"/>
                <w:sz w:val="24"/>
                <w:szCs w:val="24"/>
                <w:lang w:eastAsia="zh-CN"/>
              </w:rPr>
              <w:t>；</w:t>
            </w:r>
            <w:r>
              <w:rPr>
                <w:rFonts w:hint="eastAsia" w:ascii="宋体" w:hAnsi="宋体" w:eastAsia="宋体"/>
                <w:sz w:val="24"/>
                <w:szCs w:val="24"/>
              </w:rPr>
              <w:t>（5）建设示范区综合管控中心与典型应用项目</w:t>
            </w:r>
            <w:r>
              <w:rPr>
                <w:rFonts w:hint="eastAsia" w:ascii="宋体" w:hAnsi="宋体" w:eastAsia="宋体"/>
                <w:sz w:val="24"/>
                <w:szCs w:val="24"/>
                <w:lang w:eastAsia="zh-CN"/>
              </w:rPr>
              <w:t>；</w:t>
            </w:r>
            <w:r>
              <w:rPr>
                <w:rFonts w:hint="eastAsia" w:ascii="宋体" w:hAnsi="宋体" w:eastAsia="宋体"/>
                <w:sz w:val="24"/>
                <w:szCs w:val="24"/>
              </w:rPr>
              <w:t>（6）助力深化示范区所属行政区十五五</w:t>
            </w:r>
            <w:r>
              <w:rPr>
                <w:rFonts w:hint="eastAsia" w:ascii="宋体" w:hAnsi="宋体" w:eastAsia="宋体"/>
                <w:sz w:val="24"/>
                <w:szCs w:val="24"/>
                <w:lang w:val="en-US" w:eastAsia="zh-CN"/>
              </w:rPr>
              <w:t>规</w:t>
            </w:r>
            <w:r>
              <w:rPr>
                <w:rFonts w:hint="eastAsia" w:ascii="宋体" w:hAnsi="宋体" w:eastAsia="宋体"/>
                <w:sz w:val="24"/>
                <w:szCs w:val="24"/>
              </w:rPr>
              <w:t>划并谋划市级项目</w:t>
            </w:r>
            <w:r>
              <w:rPr>
                <w:rFonts w:hint="eastAsia" w:ascii="宋体" w:hAnsi="宋体" w:eastAsia="宋体"/>
                <w:sz w:val="24"/>
                <w:szCs w:val="24"/>
                <w:lang w:eastAsia="zh-CN"/>
              </w:rPr>
              <w:t>。</w:t>
            </w:r>
            <w:r>
              <w:rPr>
                <w:rFonts w:hint="eastAsia" w:ascii="宋体" w:hAnsi="宋体" w:eastAsia="宋体"/>
                <w:sz w:val="24"/>
                <w:szCs w:val="24"/>
              </w:rPr>
              <w:t>编制人工智能（AI）</w:t>
            </w:r>
            <w:r>
              <w:rPr>
                <w:rFonts w:hint="eastAsia" w:ascii="宋体" w:hAnsi="宋体" w:eastAsia="宋体"/>
                <w:sz w:val="24"/>
                <w:szCs w:val="24"/>
                <w:lang w:val="en-US" w:eastAsia="zh-CN"/>
              </w:rPr>
              <w:t>赋能产城融合及</w:t>
            </w:r>
            <w:r>
              <w:rPr>
                <w:rFonts w:hint="eastAsia" w:ascii="宋体" w:hAnsi="宋体" w:eastAsia="宋体"/>
                <w:sz w:val="24"/>
                <w:szCs w:val="24"/>
              </w:rPr>
              <w:t>综合服务示范区建设方案</w:t>
            </w:r>
            <w:r>
              <w:rPr>
                <w:rFonts w:hint="eastAsia" w:ascii="宋体" w:hAnsi="宋体" w:eastAsia="宋体"/>
                <w:sz w:val="24"/>
                <w:szCs w:val="24"/>
                <w:lang w:eastAsia="zh-CN"/>
              </w:rPr>
              <w:t>，</w:t>
            </w:r>
            <w:r>
              <w:rPr>
                <w:rFonts w:hint="eastAsia" w:ascii="宋体" w:hAnsi="宋体" w:eastAsia="宋体"/>
                <w:sz w:val="24"/>
                <w:szCs w:val="24"/>
              </w:rPr>
              <w:t>并通过专家评审。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 w:val="24"/>
                <w:szCs w:val="24"/>
              </w:rPr>
            </w:pPr>
            <w:r>
              <w:rPr>
                <w:rFonts w:hint="eastAsia" w:ascii="宋体" w:hAnsi="宋体" w:eastAsia="宋体"/>
                <w:sz w:val="24"/>
                <w:szCs w:val="24"/>
              </w:rPr>
              <w:t>6</w:t>
            </w:r>
            <w:r>
              <w:rPr>
                <w:rFonts w:hint="eastAsia" w:ascii="宋体" w:hAnsi="宋体" w:eastAsia="宋体"/>
                <w:sz w:val="24"/>
                <w:szCs w:val="24"/>
                <w:lang w:val="en-US" w:eastAsia="zh-CN"/>
              </w:rPr>
              <w:t>.</w:t>
            </w:r>
            <w:r>
              <w:rPr>
                <w:rFonts w:hint="eastAsia" w:ascii="宋体" w:hAnsi="宋体" w:eastAsia="宋体"/>
                <w:sz w:val="24"/>
                <w:szCs w:val="24"/>
              </w:rPr>
              <w:t>面向无人机违建巡检、公共建筑人流监测、路网巡检等典型场景，研发住建领域A</w:t>
            </w:r>
            <w:r>
              <w:rPr>
                <w:rFonts w:hint="eastAsia" w:ascii="宋体" w:hAnsi="宋体" w:eastAsia="宋体"/>
                <w:sz w:val="24"/>
                <w:szCs w:val="24"/>
                <w:lang w:val="en-US" w:eastAsia="zh-CN"/>
              </w:rPr>
              <w:t>I</w:t>
            </w:r>
            <w:r>
              <w:rPr>
                <w:rFonts w:hint="eastAsia" w:ascii="宋体" w:hAnsi="宋体" w:eastAsia="宋体"/>
                <w:sz w:val="24"/>
                <w:szCs w:val="24"/>
              </w:rPr>
              <w:t>模型构建及评价产教研一体化平台，包含数据源管理、数据集汇聚、数据标注、模型训练、模型管理、模型测试、模型运行时监测等功能，结合示范区建设开展应用示范，获得第三方测试报告，申请发明专利1项。</w:t>
            </w:r>
          </w:p>
        </w:tc>
        <w:tc>
          <w:tcPr>
            <w:tcW w:w="1276" w:type="dxa"/>
            <w:vAlign w:val="center"/>
          </w:tcPr>
          <w:p>
            <w:pPr>
              <w:spacing w:line="260" w:lineRule="exact"/>
              <w:jc w:val="center"/>
              <w:rPr>
                <w:rFonts w:hint="eastAsia" w:ascii="宋体" w:hAnsi="宋体" w:eastAsia="宋体"/>
                <w:sz w:val="24"/>
                <w:szCs w:val="24"/>
              </w:rPr>
            </w:pPr>
            <w:r>
              <w:rPr>
                <w:rFonts w:hint="eastAsia" w:ascii="宋体" w:hAnsi="宋体" w:eastAsia="宋体"/>
                <w:sz w:val="24"/>
                <w:szCs w:val="24"/>
              </w:rPr>
              <w:t>2</w:t>
            </w:r>
          </w:p>
        </w:tc>
        <w:tc>
          <w:tcPr>
            <w:tcW w:w="1195" w:type="dxa"/>
            <w:vAlign w:val="center"/>
          </w:tcPr>
          <w:p>
            <w:pPr>
              <w:spacing w:line="260" w:lineRule="exact"/>
              <w:jc w:val="center"/>
              <w:rPr>
                <w:rFonts w:hint="eastAsia" w:ascii="宋体" w:hAnsi="宋体" w:eastAsia="宋体"/>
                <w:sz w:val="24"/>
                <w:szCs w:val="24"/>
              </w:rPr>
            </w:pPr>
            <w:r>
              <w:rPr>
                <w:rFonts w:hint="eastAsia" w:ascii="宋体" w:hAnsi="宋体" w:eastAsia="宋体"/>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9" w:hRule="atLeast"/>
          <w:jc w:val="center"/>
        </w:trPr>
        <w:tc>
          <w:tcPr>
            <w:tcW w:w="704" w:type="dxa"/>
            <w:vAlign w:val="center"/>
          </w:tcPr>
          <w:p>
            <w:pPr>
              <w:spacing w:line="260" w:lineRule="exac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3</w:t>
            </w:r>
          </w:p>
        </w:tc>
        <w:tc>
          <w:tcPr>
            <w:tcW w:w="1276" w:type="dxa"/>
            <w:vAlign w:val="center"/>
          </w:tcPr>
          <w:p>
            <w:pPr>
              <w:spacing w:line="260" w:lineRule="exact"/>
              <w:rPr>
                <w:rFonts w:hint="eastAsia" w:ascii="宋体" w:hAnsi="宋体" w:eastAsia="宋体" w:cstheme="minorBidi"/>
                <w:kern w:val="2"/>
                <w:sz w:val="24"/>
                <w:szCs w:val="24"/>
                <w:lang w:val="en-US" w:eastAsia="zh-CN" w:bidi="ar-SA"/>
              </w:rPr>
            </w:pPr>
            <w:r>
              <w:rPr>
                <w:rFonts w:hint="eastAsia" w:ascii="宋体" w:hAnsi="宋体" w:eastAsia="宋体"/>
                <w:sz w:val="24"/>
                <w:szCs w:val="24"/>
              </w:rPr>
              <w:t>面向CIM综合场景的城市地下有限空间数据快速采集及高质量数据集构建技术研究与应用示范</w:t>
            </w:r>
          </w:p>
        </w:tc>
        <w:tc>
          <w:tcPr>
            <w:tcW w:w="1276" w:type="dxa"/>
            <w:vAlign w:val="center"/>
          </w:tcPr>
          <w:p>
            <w:pPr>
              <w:spacing w:line="260" w:lineRule="exac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大数据</w:t>
            </w:r>
          </w:p>
        </w:tc>
        <w:tc>
          <w:tcPr>
            <w:tcW w:w="8221" w:type="dxa"/>
            <w:vAlign w:val="center"/>
          </w:tcPr>
          <w:p>
            <w:pPr>
              <w:pStyle w:val="5"/>
              <w:keepLines w:val="0"/>
              <w:pageBreakBefore w:val="0"/>
              <w:widowControl w:val="0"/>
              <w:numPr>
                <w:ilvl w:val="0"/>
                <w:numId w:val="1"/>
              </w:numPr>
              <w:kinsoku/>
              <w:wordWrap/>
              <w:overflowPunct/>
              <w:topLinePunct w:val="0"/>
              <w:autoSpaceDE/>
              <w:autoSpaceDN/>
              <w:bidi w:val="0"/>
              <w:snapToGrid/>
              <w:spacing w:line="360" w:lineRule="exact"/>
              <w:ind w:left="0" w:firstLine="0" w:firstLine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构建面向安全韧性城市CIM综合场景应用的综合管廊、排水箱涵等典型有限空间高质量、全流程数据构建的技术体系</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研发基于无人机的CIM模型数据快速采集</w:t>
            </w:r>
            <w:r>
              <w:rPr>
                <w:rFonts w:hint="eastAsia" w:ascii="Times New Roman" w:hAnsi="Times New Roman" w:eastAsia="宋体" w:cs="Times New Roman"/>
                <w:sz w:val="24"/>
                <w:szCs w:val="24"/>
                <w:lang w:val="en-US" w:eastAsia="zh-CN"/>
              </w:rPr>
              <w:t>方法</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完成研究报告</w:t>
            </w:r>
            <w:r>
              <w:rPr>
                <w:rFonts w:hint="eastAsia" w:ascii="Times New Roman" w:hAnsi="Times New Roman" w:eastAsia="宋体" w:cs="Times New Roman"/>
                <w:sz w:val="24"/>
                <w:szCs w:val="24"/>
              </w:rPr>
              <w:t>1份</w:t>
            </w:r>
            <w:r>
              <w:rPr>
                <w:rFonts w:hint="eastAsia" w:ascii="Times New Roman" w:hAnsi="Times New Roman" w:eastAsia="宋体" w:cs="Times New Roman"/>
                <w:sz w:val="24"/>
                <w:szCs w:val="24"/>
                <w:lang w:eastAsia="zh-CN"/>
              </w:rPr>
              <w:t>；</w:t>
            </w:r>
          </w:p>
          <w:p>
            <w:pPr>
              <w:pStyle w:val="5"/>
              <w:keepNext/>
              <w:keepLines w:val="0"/>
              <w:pageBreakBefore w:val="0"/>
              <w:widowControl w:val="0"/>
              <w:numPr>
                <w:ilvl w:val="0"/>
                <w:numId w:val="1"/>
              </w:numPr>
              <w:kinsoku/>
              <w:wordWrap/>
              <w:overflowPunct/>
              <w:topLinePunct w:val="0"/>
              <w:autoSpaceDE/>
              <w:autoSpaceDN/>
              <w:bidi w:val="0"/>
              <w:adjustRightInd w:val="0"/>
              <w:snapToGrid/>
              <w:spacing w:line="360" w:lineRule="exact"/>
              <w:ind w:left="0" w:firstLine="0" w:firstLineChars="0"/>
              <w:textAlignment w:val="auto"/>
              <w:rPr>
                <w:rFonts w:hint="eastAsia" w:ascii="Times New Roman" w:hAnsi="Times New Roman" w:eastAsia="宋体" w:cs="Times New Roman"/>
                <w:bCs/>
                <w:kern w:val="0"/>
                <w:sz w:val="24"/>
                <w:szCs w:val="24"/>
                <w:lang w:bidi="en-US"/>
              </w:rPr>
            </w:pPr>
            <w:r>
              <w:rPr>
                <w:rFonts w:hint="eastAsia" w:ascii="Times New Roman" w:hAnsi="Times New Roman" w:eastAsia="宋体" w:cs="Times New Roman"/>
                <w:sz w:val="24"/>
                <w:szCs w:val="24"/>
              </w:rPr>
              <w:t>基于无人机技术设计</w:t>
            </w: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rPr>
              <w:t>套面向重庆山地城市特征的有限空间</w:t>
            </w:r>
            <w:r>
              <w:rPr>
                <w:rFonts w:hint="eastAsia" w:ascii="Times New Roman" w:hAnsi="Times New Roman" w:eastAsia="宋体" w:cs="Times New Roman"/>
                <w:bCs/>
                <w:kern w:val="0"/>
                <w:sz w:val="24"/>
                <w:szCs w:val="24"/>
                <w:lang w:bidi="en-US"/>
              </w:rPr>
              <w:t>无人机数据采集</w:t>
            </w:r>
            <w:r>
              <w:rPr>
                <w:rFonts w:hint="eastAsia" w:ascii="Times New Roman" w:hAnsi="Times New Roman" w:eastAsia="宋体" w:cs="Times New Roman"/>
                <w:bCs/>
                <w:kern w:val="0"/>
                <w:sz w:val="24"/>
                <w:szCs w:val="24"/>
                <w:lang w:val="en-US" w:eastAsia="zh-CN" w:bidi="en-US"/>
              </w:rPr>
              <w:t>实施</w:t>
            </w:r>
            <w:r>
              <w:rPr>
                <w:rFonts w:hint="eastAsia" w:ascii="Times New Roman" w:hAnsi="Times New Roman" w:eastAsia="宋体" w:cs="Times New Roman"/>
                <w:sz w:val="24"/>
                <w:szCs w:val="24"/>
              </w:rPr>
              <w:t>方案</w:t>
            </w:r>
            <w:r>
              <w:rPr>
                <w:rFonts w:hint="eastAsia" w:ascii="Times New Roman" w:hAnsi="Times New Roman" w:eastAsia="宋体" w:cs="Times New Roman"/>
                <w:sz w:val="24"/>
                <w:szCs w:val="24"/>
                <w:lang w:val="en-US" w:eastAsia="zh-CN"/>
              </w:rPr>
              <w:t>1份</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以</w:t>
            </w:r>
            <w:r>
              <w:rPr>
                <w:rFonts w:hint="eastAsia" w:ascii="Times New Roman" w:hAnsi="Times New Roman" w:eastAsia="宋体" w:cs="Times New Roman"/>
                <w:sz w:val="24"/>
                <w:szCs w:val="24"/>
              </w:rPr>
              <w:t>解决</w:t>
            </w:r>
            <w:r>
              <w:rPr>
                <w:rFonts w:hint="eastAsia" w:ascii="Times New Roman" w:hAnsi="Times New Roman" w:eastAsia="宋体" w:cs="Times New Roman"/>
                <w:sz w:val="24"/>
                <w:szCs w:val="24"/>
                <w:lang w:val="en-US" w:eastAsia="zh-CN"/>
              </w:rPr>
              <w:t>具有</w:t>
            </w:r>
            <w:r>
              <w:rPr>
                <w:rFonts w:hint="eastAsia" w:ascii="Times New Roman" w:hAnsi="Times New Roman" w:eastAsia="宋体" w:cs="Times New Roman"/>
                <w:sz w:val="24"/>
                <w:szCs w:val="24"/>
              </w:rPr>
              <w:t>高埋深、</w:t>
            </w:r>
            <w:r>
              <w:rPr>
                <w:rFonts w:hint="eastAsia" w:ascii="Times New Roman" w:hAnsi="Times New Roman" w:eastAsia="宋体" w:cs="Times New Roman"/>
                <w:sz w:val="24"/>
                <w:szCs w:val="24"/>
                <w:lang w:val="en-US" w:eastAsia="zh-CN"/>
              </w:rPr>
              <w:t>长</w:t>
            </w:r>
            <w:r>
              <w:rPr>
                <w:rFonts w:hint="eastAsia" w:ascii="Times New Roman" w:hAnsi="Times New Roman" w:eastAsia="宋体" w:cs="Times New Roman"/>
                <w:sz w:val="24"/>
                <w:szCs w:val="24"/>
              </w:rPr>
              <w:t>距离、缺信号、定位难、易碰撞、高风险等</w:t>
            </w:r>
            <w:r>
              <w:rPr>
                <w:rFonts w:hint="eastAsia" w:ascii="Times New Roman" w:hAnsi="Times New Roman" w:eastAsia="宋体" w:cs="Times New Roman"/>
                <w:sz w:val="24"/>
                <w:szCs w:val="24"/>
                <w:lang w:val="en-US" w:eastAsia="zh-CN"/>
              </w:rPr>
              <w:t>特点的恶劣</w:t>
            </w:r>
            <w:r>
              <w:rPr>
                <w:rFonts w:hint="eastAsia" w:ascii="Times New Roman" w:hAnsi="Times New Roman" w:eastAsia="宋体" w:cs="Times New Roman"/>
                <w:sz w:val="24"/>
                <w:szCs w:val="24"/>
              </w:rPr>
              <w:t>环境下的数据采集难题，</w:t>
            </w:r>
            <w:r>
              <w:rPr>
                <w:rFonts w:hint="eastAsia" w:ascii="Times New Roman" w:hAnsi="Times New Roman" w:eastAsia="宋体" w:cs="Times New Roman"/>
                <w:sz w:val="24"/>
                <w:szCs w:val="24"/>
                <w:lang w:val="en-US" w:eastAsia="zh-CN"/>
              </w:rPr>
              <w:t>支撑</w:t>
            </w:r>
            <w:r>
              <w:rPr>
                <w:rFonts w:hint="eastAsia" w:ascii="Times New Roman" w:hAnsi="Times New Roman" w:eastAsia="宋体" w:cs="Times New Roman"/>
                <w:sz w:val="24"/>
                <w:szCs w:val="24"/>
              </w:rPr>
              <w:t>综合管廊、排水箱涵等地下有限空间CIM模型数据的有效采集；</w:t>
            </w:r>
          </w:p>
          <w:p>
            <w:pPr>
              <w:pStyle w:val="5"/>
              <w:keepLines w:val="0"/>
              <w:pageBreakBefore w:val="0"/>
              <w:widowControl w:val="0"/>
              <w:numPr>
                <w:ilvl w:val="0"/>
                <w:numId w:val="1"/>
              </w:numPr>
              <w:kinsoku/>
              <w:wordWrap/>
              <w:overflowPunct/>
              <w:topLinePunct w:val="0"/>
              <w:autoSpaceDE/>
              <w:autoSpaceDN/>
              <w:bidi w:val="0"/>
              <w:snapToGrid/>
              <w:spacing w:line="360" w:lineRule="exact"/>
              <w:ind w:left="0" w:firstLine="0" w:firstLineChars="0"/>
              <w:textAlignment w:val="auto"/>
            </w:pPr>
            <w:r>
              <w:rPr>
                <w:rFonts w:hint="eastAsia" w:ascii="Times New Roman" w:hAnsi="Times New Roman" w:eastAsia="宋体" w:cs="Times New Roman"/>
                <w:sz w:val="24"/>
                <w:szCs w:val="24"/>
              </w:rPr>
              <w:t>制定有限空间CIM模型构建规则，实现箱涵、管廊等典型设施的CIM模型</w:t>
            </w:r>
            <w:r>
              <w:rPr>
                <w:rFonts w:hint="eastAsia" w:ascii="Times New Roman" w:hAnsi="Times New Roman" w:eastAsia="宋体" w:cs="Times New Roman"/>
                <w:sz w:val="24"/>
                <w:szCs w:val="24"/>
                <w:lang w:val="en-US" w:eastAsia="zh-CN"/>
              </w:rPr>
              <w:t>规范化</w:t>
            </w:r>
            <w:r>
              <w:rPr>
                <w:rFonts w:hint="eastAsia" w:ascii="Times New Roman" w:hAnsi="Times New Roman" w:eastAsia="宋体" w:cs="Times New Roman"/>
                <w:sz w:val="24"/>
                <w:szCs w:val="24"/>
              </w:rPr>
              <w:t>、轻量化转换，并支持CIM模型导入市级平台；开发箱涵、管廊点云-模型自动化转换插件，</w:t>
            </w:r>
            <w:r>
              <w:rPr>
                <w:rFonts w:hint="eastAsia" w:ascii="Times New Roman" w:hAnsi="Times New Roman" w:eastAsia="宋体" w:cs="Times New Roman"/>
                <w:sz w:val="24"/>
                <w:szCs w:val="24"/>
                <w:lang w:val="en-US" w:eastAsia="zh-CN"/>
              </w:rPr>
              <w:t>获得软件著作权登记</w:t>
            </w:r>
            <w:r>
              <w:rPr>
                <w:rFonts w:hint="eastAsia" w:ascii="Times New Roman" w:hAnsi="Times New Roman" w:eastAsia="宋体" w:cs="Times New Roman"/>
                <w:sz w:val="24"/>
                <w:szCs w:val="24"/>
              </w:rPr>
              <w:t>1项</w:t>
            </w:r>
            <w:r>
              <w:rPr>
                <w:rFonts w:hint="eastAsia" w:ascii="Times New Roman" w:hAnsi="Times New Roman" w:eastAsia="宋体" w:cs="Times New Roman"/>
                <w:sz w:val="24"/>
                <w:szCs w:val="24"/>
                <w:lang w:eastAsia="zh-CN"/>
              </w:rPr>
              <w:t>；</w:t>
            </w:r>
          </w:p>
          <w:p>
            <w:pPr>
              <w:pStyle w:val="5"/>
              <w:keepLines w:val="0"/>
              <w:pageBreakBefore w:val="0"/>
              <w:widowControl w:val="0"/>
              <w:numPr>
                <w:ilvl w:val="0"/>
                <w:numId w:val="1"/>
              </w:numPr>
              <w:kinsoku/>
              <w:wordWrap/>
              <w:overflowPunct/>
              <w:topLinePunct w:val="0"/>
              <w:autoSpaceDE/>
              <w:autoSpaceDN/>
              <w:bidi w:val="0"/>
              <w:snapToGrid/>
              <w:spacing w:line="360" w:lineRule="exact"/>
              <w:ind w:left="0" w:firstLine="0" w:firstLine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研发基于</w:t>
            </w:r>
            <w:r>
              <w:rPr>
                <w:rFonts w:ascii="Times New Roman" w:hAnsi="Times New Roman" w:eastAsia="宋体" w:cs="Times New Roman"/>
                <w:sz w:val="24"/>
                <w:szCs w:val="24"/>
              </w:rPr>
              <w:t>AI</w:t>
            </w:r>
            <w:r>
              <w:rPr>
                <w:rFonts w:hint="eastAsia" w:ascii="Times New Roman" w:hAnsi="Times New Roman" w:eastAsia="宋体" w:cs="Times New Roman"/>
                <w:sz w:val="24"/>
                <w:szCs w:val="24"/>
              </w:rPr>
              <w:t>自动识别的箱涵结构及缺陷信息解析、识别、标注的算法及插件，实现有限空间CIM模型信息的高质量标准化分类、分层及自动标注；开发标注插件1项、</w:t>
            </w:r>
            <w:r>
              <w:rPr>
                <w:rFonts w:hint="eastAsia" w:ascii="Times New Roman" w:hAnsi="Times New Roman" w:eastAsia="宋体" w:cs="Times New Roman"/>
                <w:sz w:val="24"/>
                <w:szCs w:val="24"/>
                <w:lang w:val="en-US" w:eastAsia="zh-CN"/>
              </w:rPr>
              <w:t>获得软件著作权登记1项</w:t>
            </w:r>
            <w:r>
              <w:rPr>
                <w:rFonts w:hint="eastAsia" w:ascii="Times New Roman" w:hAnsi="Times New Roman" w:eastAsia="宋体" w:cs="Times New Roman"/>
                <w:sz w:val="24"/>
                <w:szCs w:val="24"/>
                <w:lang w:eastAsia="zh-CN"/>
              </w:rPr>
              <w:t>；</w:t>
            </w:r>
          </w:p>
          <w:p>
            <w:pPr>
              <w:pStyle w:val="5"/>
              <w:keepLines w:val="0"/>
              <w:pageBreakBefore w:val="0"/>
              <w:widowControl w:val="0"/>
              <w:numPr>
                <w:ilvl w:val="0"/>
                <w:numId w:val="1"/>
              </w:numPr>
              <w:kinsoku/>
              <w:wordWrap/>
              <w:overflowPunct/>
              <w:topLinePunct w:val="0"/>
              <w:autoSpaceDE/>
              <w:autoSpaceDN/>
              <w:bidi w:val="0"/>
              <w:snapToGrid/>
              <w:spacing w:line="360" w:lineRule="exact"/>
              <w:ind w:left="0"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完成1个</w:t>
            </w:r>
            <w:r>
              <w:rPr>
                <w:rFonts w:hint="eastAsia" w:ascii="Times New Roman" w:hAnsi="Times New Roman" w:eastAsia="宋体" w:cs="Times New Roman"/>
                <w:sz w:val="24"/>
                <w:szCs w:val="24"/>
                <w:lang w:val="en-US" w:eastAsia="zh-CN"/>
              </w:rPr>
              <w:t>基于</w:t>
            </w:r>
            <w:r>
              <w:rPr>
                <w:rFonts w:hint="eastAsia" w:ascii="Times New Roman" w:hAnsi="Times New Roman" w:eastAsia="宋体" w:cs="Times New Roman"/>
                <w:sz w:val="24"/>
                <w:szCs w:val="24"/>
              </w:rPr>
              <w:t>有限空间CIM模型</w:t>
            </w:r>
            <w:r>
              <w:rPr>
                <w:rFonts w:hint="eastAsia" w:ascii="Times New Roman" w:hAnsi="Times New Roman" w:eastAsia="宋体" w:cs="Times New Roman"/>
                <w:sz w:val="24"/>
                <w:szCs w:val="24"/>
                <w:lang w:val="en-US" w:eastAsia="zh-CN"/>
              </w:rPr>
              <w:t>的综合</w:t>
            </w:r>
            <w:r>
              <w:rPr>
                <w:rFonts w:ascii="Times New Roman" w:hAnsi="Times New Roman" w:eastAsia="宋体" w:cs="Times New Roman"/>
                <w:sz w:val="24"/>
                <w:szCs w:val="24"/>
              </w:rPr>
              <w:t>业务场景</w:t>
            </w:r>
            <w:r>
              <w:rPr>
                <w:rFonts w:hint="eastAsia" w:ascii="Times New Roman" w:hAnsi="Times New Roman" w:eastAsia="宋体" w:cs="Times New Roman"/>
                <w:sz w:val="24"/>
                <w:szCs w:val="24"/>
              </w:rPr>
              <w:t>示范项目</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长度应不低于1000米</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形成综合管廊、排水箱涵标准化CIM数据</w:t>
            </w:r>
            <w:r>
              <w:rPr>
                <w:rFonts w:hint="eastAsia" w:ascii="Times New Roman" w:hAnsi="Times New Roman" w:eastAsia="宋体" w:cs="Times New Roman"/>
                <w:sz w:val="24"/>
                <w:szCs w:val="24"/>
                <w:lang w:val="en-US" w:eastAsia="zh-CN"/>
              </w:rPr>
              <w:t>集</w:t>
            </w:r>
            <w:r>
              <w:rPr>
                <w:rFonts w:hint="eastAsia" w:ascii="Times New Roman" w:hAnsi="Times New Roman" w:eastAsia="宋体" w:cs="Times New Roman"/>
                <w:sz w:val="24"/>
                <w:szCs w:val="24"/>
              </w:rPr>
              <w:t>1份</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包括但不限于规范化</w:t>
            </w:r>
            <w:r>
              <w:rPr>
                <w:rFonts w:hint="eastAsia" w:ascii="Times New Roman" w:hAnsi="Times New Roman" w:eastAsia="宋体" w:cs="Times New Roman"/>
                <w:sz w:val="24"/>
                <w:szCs w:val="24"/>
              </w:rPr>
              <w:t>的模型</w:t>
            </w:r>
            <w:r>
              <w:rPr>
                <w:rFonts w:hint="eastAsia" w:ascii="Times New Roman" w:hAnsi="Times New Roman" w:eastAsia="宋体" w:cs="Times New Roman"/>
                <w:sz w:val="24"/>
                <w:szCs w:val="24"/>
                <w:lang w:val="en-US" w:eastAsia="zh-CN"/>
              </w:rPr>
              <w:t>及环境数据</w:t>
            </w:r>
            <w:r>
              <w:rPr>
                <w:rFonts w:hint="eastAsia" w:ascii="Times New Roman" w:hAnsi="Times New Roman" w:eastAsia="宋体" w:cs="Times New Roman"/>
                <w:sz w:val="24"/>
                <w:szCs w:val="24"/>
              </w:rPr>
              <w:t>（可导入市级平台）；</w:t>
            </w:r>
          </w:p>
          <w:p>
            <w:pPr>
              <w:pStyle w:val="5"/>
              <w:keepLines w:val="0"/>
              <w:pageBreakBefore w:val="0"/>
              <w:widowControl w:val="0"/>
              <w:numPr>
                <w:ilvl w:val="0"/>
                <w:numId w:val="0"/>
              </w:numPr>
              <w:kinsoku/>
              <w:wordWrap/>
              <w:overflowPunct/>
              <w:topLinePunct w:val="0"/>
              <w:autoSpaceDE/>
              <w:autoSpaceDN/>
              <w:bidi w:val="0"/>
              <w:snapToGrid/>
              <w:spacing w:line="360" w:lineRule="exact"/>
              <w:ind w:leftChars="0"/>
              <w:jc w:val="left"/>
              <w:textAlignment w:val="auto"/>
              <w:rPr>
                <w:rFonts w:hint="eastAsia" w:ascii="宋体" w:hAnsi="宋体" w:eastAsia="宋体" w:cstheme="minorBidi"/>
                <w:kern w:val="2"/>
                <w:sz w:val="24"/>
                <w:szCs w:val="24"/>
                <w:lang w:val="en-US" w:eastAsia="zh-CN" w:bidi="ar-SA"/>
              </w:rPr>
            </w:pPr>
            <w:r>
              <w:rPr>
                <w:rFonts w:hint="eastAsia" w:ascii="Times New Roman" w:hAnsi="Times New Roman" w:eastAsia="宋体" w:cs="Times New Roman"/>
                <w:color w:val="auto"/>
                <w:sz w:val="24"/>
                <w:szCs w:val="24"/>
                <w:highlight w:val="none"/>
              </w:rPr>
              <w:t>培育数字化企业1家。</w:t>
            </w:r>
          </w:p>
        </w:tc>
        <w:tc>
          <w:tcPr>
            <w:tcW w:w="1276" w:type="dxa"/>
            <w:vAlign w:val="center"/>
          </w:tcPr>
          <w:p>
            <w:pPr>
              <w:spacing w:line="300" w:lineRule="exac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rPr>
              <w:t>2</w:t>
            </w:r>
          </w:p>
        </w:tc>
        <w:tc>
          <w:tcPr>
            <w:tcW w:w="1195" w:type="dxa"/>
            <w:vAlign w:val="center"/>
          </w:tcPr>
          <w:p>
            <w:pPr>
              <w:spacing w:line="300" w:lineRule="exac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rPr>
              <w:t>60</w:t>
            </w:r>
          </w:p>
        </w:tc>
      </w:tr>
    </w:tbl>
    <w:p>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F3363"/>
    <w:multiLevelType w:val="multilevel"/>
    <w:tmpl w:val="0FBF336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A5551"/>
    <w:rsid w:val="0A65029C"/>
    <w:rsid w:val="0B82054A"/>
    <w:rsid w:val="0D950142"/>
    <w:rsid w:val="10BF5108"/>
    <w:rsid w:val="110C1984"/>
    <w:rsid w:val="1644347C"/>
    <w:rsid w:val="16AE234B"/>
    <w:rsid w:val="1A97792D"/>
    <w:rsid w:val="1CDF6017"/>
    <w:rsid w:val="1D693DED"/>
    <w:rsid w:val="1E4D6A2E"/>
    <w:rsid w:val="1E5D4F90"/>
    <w:rsid w:val="1EF70171"/>
    <w:rsid w:val="23540999"/>
    <w:rsid w:val="23AB6373"/>
    <w:rsid w:val="2A0E7F0F"/>
    <w:rsid w:val="2A2D3DE1"/>
    <w:rsid w:val="2CB35BE4"/>
    <w:rsid w:val="307255A1"/>
    <w:rsid w:val="34580A75"/>
    <w:rsid w:val="35B775F6"/>
    <w:rsid w:val="36775564"/>
    <w:rsid w:val="369323EF"/>
    <w:rsid w:val="37451116"/>
    <w:rsid w:val="37F244D7"/>
    <w:rsid w:val="38C05E29"/>
    <w:rsid w:val="38D6540E"/>
    <w:rsid w:val="3A765FE2"/>
    <w:rsid w:val="3B044430"/>
    <w:rsid w:val="3BE01488"/>
    <w:rsid w:val="3D434F8E"/>
    <w:rsid w:val="3E026088"/>
    <w:rsid w:val="40E1705D"/>
    <w:rsid w:val="42936744"/>
    <w:rsid w:val="42A21CD9"/>
    <w:rsid w:val="44755558"/>
    <w:rsid w:val="47F5469D"/>
    <w:rsid w:val="48B12B6A"/>
    <w:rsid w:val="4B65627A"/>
    <w:rsid w:val="4B6A2071"/>
    <w:rsid w:val="4CC43F81"/>
    <w:rsid w:val="4D917E52"/>
    <w:rsid w:val="4E2E4781"/>
    <w:rsid w:val="50D878AE"/>
    <w:rsid w:val="54E43B44"/>
    <w:rsid w:val="57453786"/>
    <w:rsid w:val="57E84249"/>
    <w:rsid w:val="582B57B9"/>
    <w:rsid w:val="588917A6"/>
    <w:rsid w:val="58981F41"/>
    <w:rsid w:val="5A8E69E2"/>
    <w:rsid w:val="5DE6679D"/>
    <w:rsid w:val="5E420C56"/>
    <w:rsid w:val="608834ED"/>
    <w:rsid w:val="6137458B"/>
    <w:rsid w:val="63862EAA"/>
    <w:rsid w:val="64693149"/>
    <w:rsid w:val="65621887"/>
    <w:rsid w:val="65815342"/>
    <w:rsid w:val="65AF3460"/>
    <w:rsid w:val="672E5E74"/>
    <w:rsid w:val="6A4F389E"/>
    <w:rsid w:val="6C822514"/>
    <w:rsid w:val="6D303931"/>
    <w:rsid w:val="716F71A9"/>
    <w:rsid w:val="71912BE1"/>
    <w:rsid w:val="76F507BA"/>
    <w:rsid w:val="773C532B"/>
    <w:rsid w:val="796A7C74"/>
    <w:rsid w:val="7AAF2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2025-08-01T06:35:00Z</dcterms:created>
  <dc:creator>Administrator</dc:creator>
  <cp:lastModifiedBy>黄</cp:lastModifiedBy>
  <cp:lastPrinted>2025-08-04T09:41:00Z</cp:lastPrinted>
  <dcterms:modified xsi:type="dcterms:W3CDTF">2025-09-04T07:49:15Z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0D935578EBFC434E8E0337070BE45508</vt:lpwstr>
  </property>
</Properties>
</file>